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both"/>
        <w:outlineLvl w:val="0"/>
        <w:rPr>
          <w:rFonts w:eastAsia="Times New Roman" w:cs="Calibri"/>
          <w:color w:val="365F91"/>
          <w:sz w:val="24"/>
          <w:szCs w:val="24"/>
          <w:lang w:eastAsia="it-IT"/>
        </w:rPr>
      </w:pPr>
      <w:bookmarkStart w:id="0" w:name="_Toc12004756"/>
      <w:bookmarkEnd w:id="0"/>
      <w:r>
        <w:rPr>
          <w:rFonts w:eastAsia="Times New Roman" w:cs="Calibri"/>
          <w:color w:val="365F91"/>
          <w:sz w:val="24"/>
          <w:szCs w:val="24"/>
          <w:lang w:eastAsia="it-IT"/>
        </w:rPr>
        <w:t>ALLEGATO 2 alla Direttiva recante “MISURE PER PROMUOVERE LE PARI OPPORTUNITA E RAFFORZARE IL RUOLO DEI COMITATI UNICI DI GARANZIA NELLE AMMINISTRAZIONI PUBBLICHE”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color w:val="244061" w:themeColor="accent1" w:themeShade="80"/>
          <w:sz w:val="24"/>
          <w:szCs w:val="24"/>
        </w:rPr>
      </w:pPr>
      <w:r>
        <w:rPr>
          <w:rFonts w:cs="Calibri" w:cstheme="minorHAnsi"/>
          <w:color w:val="244061" w:themeColor="accent1" w:themeShade="80"/>
          <w:sz w:val="24"/>
          <w:szCs w:val="24"/>
        </w:rPr>
      </w:r>
    </w:p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both"/>
        <w:outlineLvl w:val="0"/>
        <w:rPr>
          <w:rFonts w:ascii="Calibri" w:hAnsi="Calibri" w:eastAsia="Times New Roman" w:cs="Calibri" w:asciiTheme="minorHAnsi" w:cstheme="minorHAnsi" w:hAnsiTheme="minorHAnsi"/>
          <w:color w:val="365F91"/>
          <w:sz w:val="24"/>
          <w:szCs w:val="24"/>
        </w:rPr>
      </w:pPr>
      <w:bookmarkStart w:id="1" w:name="_Toc12004757"/>
      <w:r>
        <w:rPr>
          <w:rFonts w:eastAsia="Times New Roman" w:cs="Calibri" w:cstheme="minorHAnsi"/>
          <w:color w:val="365F91"/>
          <w:sz w:val="24"/>
          <w:szCs w:val="24"/>
        </w:rPr>
        <w:t xml:space="preserve">Format – </w:t>
      </w:r>
      <w:bookmarkEnd w:id="1"/>
      <w:r>
        <w:rPr>
          <w:rFonts w:eastAsia="Times New Roman" w:cs="Calibri" w:cstheme="minorHAnsi"/>
          <w:color w:val="365F91"/>
          <w:sz w:val="24"/>
          <w:szCs w:val="24"/>
        </w:rPr>
        <w:t>Relazione del Comitato Unico di Garanzia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keepNext/>
        <w:keepLines/>
        <w:numPr>
          <w:ilvl w:val="0"/>
          <w:numId w:val="0"/>
        </w:numPr>
        <w:pBdr>
          <w:bottom w:val="single" w:sz="4" w:space="1" w:color="4F81BD"/>
        </w:pBdr>
        <w:spacing w:lineRule="auto" w:line="240" w:before="400" w:after="40"/>
        <w:jc w:val="center"/>
        <w:outlineLvl w:val="0"/>
        <w:rPr>
          <w:rFonts w:ascii="Calibri" w:hAnsi="Calibri" w:eastAsia="Times New Roman" w:cs="Calibri" w:asciiTheme="minorHAnsi" w:cstheme="minorHAnsi" w:hAnsiTheme="minorHAnsi"/>
          <w:color w:val="365F91"/>
          <w:sz w:val="24"/>
          <w:szCs w:val="24"/>
        </w:rPr>
      </w:pPr>
      <w:bookmarkStart w:id="2" w:name="_Toc12004758"/>
      <w:bookmarkEnd w:id="2"/>
      <w:r>
        <w:rPr>
          <w:rFonts w:eastAsia="Times New Roman" w:cs="Calibri" w:cstheme="minorHAnsi"/>
          <w:color w:val="365F91"/>
          <w:sz w:val="24"/>
          <w:szCs w:val="24"/>
        </w:rPr>
        <w:t>ANNO …..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bookmarkStart w:id="3" w:name="_GoBack"/>
      <w:bookmarkStart w:id="4" w:name="_GoBack"/>
      <w:bookmarkEnd w:id="4"/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color w:val="244061" w:themeColor="accent1" w:themeShade="80"/>
        </w:rPr>
      </w:pPr>
      <w:r>
        <w:rPr>
          <w:rFonts w:cs="Calibri" w:cstheme="minorHAnsi"/>
          <w:b/>
          <w:color w:val="244061" w:themeColor="accent1" w:themeShade="8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111" w:hanging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111" w:hanging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111" w:hanging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111" w:hanging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111" w:hanging="0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  <w:t>Ai vertici dell’Amministrazione</w:t>
      </w:r>
    </w:p>
    <w:p>
      <w:pPr>
        <w:pStyle w:val="Normal"/>
        <w:spacing w:lineRule="auto" w:line="240" w:before="0" w:after="0"/>
        <w:ind w:left="4111" w:hanging="0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ind w:left="4111" w:hanging="0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  <w:t>All’OIV dell’Amministrazione</w:t>
      </w:r>
    </w:p>
    <w:p>
      <w:pPr>
        <w:pStyle w:val="Normal"/>
        <w:spacing w:lineRule="auto" w:line="240" w:before="0" w:after="0"/>
        <w:ind w:left="4111" w:hanging="0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ind w:left="4111" w:hanging="0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  <w:t>Alla Presidenza del Consiglio dei ministri</w:t>
      </w:r>
    </w:p>
    <w:p>
      <w:pPr>
        <w:pStyle w:val="Normal"/>
        <w:spacing w:lineRule="auto" w:line="240" w:before="0" w:after="0"/>
        <w:ind w:left="4111" w:hanging="0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  <w:t>Dipartimento della Funzione Pubblica</w:t>
      </w:r>
    </w:p>
    <w:p>
      <w:pPr>
        <w:pStyle w:val="Normal"/>
        <w:spacing w:lineRule="auto" w:line="240" w:before="0" w:after="0"/>
        <w:ind w:left="4111" w:hanging="0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  <w:t>Dipartimento delle Pari Opportunità</w:t>
      </w:r>
    </w:p>
    <w:p>
      <w:pPr>
        <w:pStyle w:val="Normal"/>
        <w:spacing w:lineRule="auto" w:line="240" w:before="0" w:after="0"/>
        <w:ind w:left="4111" w:hanging="0"/>
        <w:rPr/>
      </w:pPr>
      <w:hyperlink r:id="rId2">
        <w:r>
          <w:rPr>
            <w:rStyle w:val="CollegamentoInternet"/>
            <w:rFonts w:cs="Calibri" w:cstheme="minorHAnsi"/>
            <w:color w:val="365F91" w:themeColor="accent1" w:themeShade="bf"/>
            <w:sz w:val="28"/>
            <w:szCs w:val="28"/>
          </w:rPr>
          <w:t>monitoraggiocug@governo.it</w:t>
        </w:r>
      </w:hyperlink>
      <w:r>
        <w:rPr>
          <w:rFonts w:cs="Calibri" w:cstheme="minorHAnsi"/>
          <w:color w:val="365F91" w:themeColor="accent1" w:themeShade="bf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  <w:t>RELAZIONE DEL CUG SULLA SITUAZIONE DEL PERSONALE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365F91" w:themeColor="accent1" w:themeShade="bf"/>
          <w:sz w:val="28"/>
          <w:szCs w:val="28"/>
        </w:rPr>
      </w:pPr>
      <w:r>
        <w:rPr>
          <w:rFonts w:cs="Calibri" w:cstheme="minorHAnsi"/>
          <w:color w:val="365F91" w:themeColor="accent1" w:themeShade="bf"/>
          <w:sz w:val="28"/>
          <w:szCs w:val="28"/>
        </w:rPr>
        <w:t>ANNO _____________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  <w:t>PREMESSA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Riferimento normativo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La relazione sulla condizione del personale è un adempimento del Comitato Unico di Garanzia previsto dalla Direttiva della Presidenza del Consiglio dei Ministri del 4 marzo 2011 recante le “L</w:t>
      </w:r>
      <w:r>
        <w:rPr>
          <w:rFonts w:cs="Calibri" w:cstheme="minorHAnsi"/>
          <w:i/>
          <w:sz w:val="28"/>
          <w:szCs w:val="28"/>
        </w:rPr>
        <w:t>inee guida sulle modalità di funzionamento dei CUG</w:t>
      </w:r>
      <w:r>
        <w:rPr>
          <w:rFonts w:cs="Calibri" w:cstheme="minorHAnsi"/>
          <w:sz w:val="28"/>
          <w:szCs w:val="28"/>
        </w:rPr>
        <w:t>” così come integrata dalla presente direttiva.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Finalità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La relazione ha un duplice obiettivo: fornire uno spaccato sulla situazione del personale analizzando i dati forniti dall’Amministrazione e al tempo stesso costituire uno strumento utile per le azioni di benessere organizzativo da promuovere, verificando lo stato di attuazione di quelle già inserite nel Piano di azioni positive adottato dall’amministrazione.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Compito del CUG è ricongiungere i dati provenienti da vari attori interni alla propria organizzazione per trarne delle conclusioni in merito all’attuazione delle tematiche di sua competenza: attuazione dei principi di parità e pari opportunità, benessere organizzativo, contrasto alle discriminazioni e alle violenze morali e psicologiche sul luogo di lavoro.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Struttura della Relazione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La </w:t>
      </w:r>
      <w:r>
        <w:rPr>
          <w:rFonts w:cs="Calibri" w:cstheme="minorHAnsi"/>
          <w:b/>
          <w:sz w:val="28"/>
          <w:szCs w:val="28"/>
        </w:rPr>
        <w:t>prima parte</w:t>
      </w:r>
      <w:r>
        <w:rPr>
          <w:rFonts w:cs="Calibri" w:cstheme="minorHAnsi"/>
          <w:sz w:val="28"/>
          <w:szCs w:val="28"/>
        </w:rPr>
        <w:t xml:space="preserve"> della relazione è dedicata all’analisi dei dati sul personale raccolti da varie fonti: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dati forniti dagli uffici risorse umane sulla distribuzione del personale per genere (fruizione di istituti per la conciliazione vita-lavoro, congedi/permessi per disabilità, congedi parentali, ecc.)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dati raccolti con le indagini sul benessere organizzativo con riguardo alle risultanze e azioni messe in campo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dati raccolti dal servizio salute e sicurezza con le valutazioni sullo stress lavoro correlato e la valutazione dei rischi in ottica di genere, laddove realizzata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dati ed informazioni provenienti da altri organismi operanti nell’amministrazione (OIV, responsabile dei processi di inserimento, consigliera di parità ecc)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Nella </w:t>
      </w:r>
      <w:r>
        <w:rPr>
          <w:rFonts w:cs="Calibri" w:cstheme="minorHAnsi"/>
          <w:b/>
          <w:sz w:val="28"/>
          <w:szCs w:val="28"/>
        </w:rPr>
        <w:t>seconda parte</w:t>
      </w:r>
      <w:r>
        <w:rPr>
          <w:rFonts w:cs="Calibri" w:cstheme="minorHAnsi"/>
          <w:sz w:val="28"/>
          <w:szCs w:val="28"/>
        </w:rPr>
        <w:t xml:space="preserve"> della relazione trova spazio una analisi relativa al rapporto tra il Comitato e i vertici dell’amministrazione, nonché una sintesi delle attività curate direttamente dal Comitato nell’anno di riferimento.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  <w:t>PRIMA PARTE – ANALISI DEI DATI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SEZIONE 1. DATI SUL PERSONALE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[In questa sezione inserire un’analisi dei dati sulla composizione del personale per genere, fascia di età (es. 20-30 anni, 31-40, 41-50, 51-60, oltre 60),, tipo di contratto, qualifica/profilo, livello, posizione organizzativa</w:t>
      </w:r>
      <w:r>
        <w:rPr>
          <w:rStyle w:val="Richiamoallanotaapidipagina"/>
          <w:rFonts w:cs="Calibri" w:cstheme="minorHAnsi"/>
          <w:i/>
          <w:sz w:val="28"/>
          <w:szCs w:val="28"/>
        </w:rPr>
        <w:footnoteReference w:id="2"/>
      </w:r>
      <w:r>
        <w:rPr>
          <w:rFonts w:cs="Calibri" w:cstheme="minorHAnsi"/>
          <w:i/>
          <w:sz w:val="28"/>
          <w:szCs w:val="28"/>
        </w:rPr>
        <w:t>ecc.. Qualora si disponga di dati riferiti agli anni precedenti operare un raffronto delle serie storiche]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SEZIONE 2. CONCILIAZIONE VITA/LAVORO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[In questa sezione inserire una analisi dei dati forniti dall’amministrazione in ordine alle tipologie di misure di conciliazione adottate e i dati circa la concreta fruizione da parte del personale (es. flessibilità oraria, telelavoro, smart working, part-time, congedi parentali, permessi/congedi per disabilità propria o parentale) per genere]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SEZIONE 3. PARITA’/PARI OPPORTUNITA’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[In questa sezione inserire le misure adottate per la tutela della parità e la promozione delle pari opportunità e analizzare i risultati di tali misure. A titolo esemplificativo, la sezione può essere articolata come segue: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Piano Triennale di Azioni Positive (se adottato, descrivere azioni previste nell’anno in corso e attuate nell’anno precedente; specificare quali azioni sono state finanziate e l’ammontare del relativo finanziamento; se non adottato descrivere motivazioni);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Fruizione per genere della formazione e rilevazione del genere nelle schede di valutazione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Adozione bilancio di genere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Composizione per genere delle diverse commissioni di concorso per il reclutamento del personale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Differenziali retributivi uomo/donna (valore medio della retribuzione annua netta inclusa retribuzione di risultato e retribuzione variabile al 31 dicembre dell’anno di riferimento dei/delle titolari di posizioni organizzative)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SEZIONE 4. BENESSERE DEL PERSONALE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[In questa sezione analizzare i dati raccolti con le indagini sul benessere organizzativo e i dati raccolti dal Servizio Salute e Sicurezza con la valutazione dello stress lavoro correlato e la valutazione dei rischi in ottica di genere, laddove effettuata. Se tali indagini/valutazioni non sono state effettuate, descrivere e analizzare le motivazioni. Esaminare anche le azioni messe in campo a seguito delle indagini/valutazioni e la loro efficacia (Circoli d’ascolto organizzativo, Sportelli d’ascolto/counselling ecc).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Indicare l’adozione di codici (es. etico, di condotta, di comportamento) specificando la tipologia, la data di decorrenza. Qualora non presenti, possono essere qui inserite delle proposte da parte del CUG.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Descrivere le misure adottate per prevenire situazioni di disagio lavorativo.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Laddove rilevate, descrivere situazioni di discriminazione/mobbing e indicare gli interventi messi in campo per la loro rimozione, avendo sempre cura di analizzarne l’efficacia.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SEZIONE 5. PERFORMANCE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[</w:t>
      </w:r>
      <w:r>
        <w:rPr>
          <w:rFonts w:cs="Calibri" w:cstheme="minorHAnsi"/>
          <w:i/>
          <w:sz w:val="28"/>
          <w:szCs w:val="28"/>
        </w:rPr>
        <w:t>in questa sezione va riportata una analisi degli obiettivi di pari opportunità inseriti nel Piano della Performance quale dimensione di performance organizzativa dell’amministrazione; l’analisi delle modalità di collegamento tra la dimensione di performance organizzativa e la valutazione della performance individuale dei soggetti responsabili;  eventuali osservazioni e/o raccomandazioni del CUG in merito alle modalità di gestione del Sistema di Misurazione e Valutazione in funzione del suo impatto sul benessere organizzativo]</w:t>
      </w:r>
      <w:r>
        <w:rPr>
          <w:rFonts w:cs="Calibri" w:cstheme="minorHAnsi"/>
          <w:sz w:val="28"/>
          <w:szCs w:val="28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  <w:t>SECONDA PARTE – L’AZIONE DEL COMITATO UNICO DI GARANZIA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[Questa parte della relazione è dedicata all’analisi del rapporto tra il Comitato e i vertici dell’Amministrazione da cui deve emergere il grado di operatività e rappresentatività del Comitato all’interno dell’organizzazione. In questa sezione trova spazio anche una sintesi delle azioni svolte dal Comitato nel periodo di riferimento]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A. OPERATIVITA’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[In questa sezione sono inserite in maniera schematica le seguenti informazioni: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Modalità di nomina del CUG (tipologia di atto, data e organo sottoscrittore)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Eventuale dotazione di budget annuale ai sensi dell’art. 57 del d.lgs. 165/2001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Risorse destinate alla formazione dei/delle componenti, o interventi realizzati a costo zero con specificazione degli argomenti oggetto di formazione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Riconoscibilità/visibilità (spazi fisici e virtuali, organizzazione eventi, ecc.)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Normativa/circolari che regolamentano i rapporti tra amministrazione e CUG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Frequenza e temi della consultazione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Presa in carico dei pareri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Collaborazioni esterne/interne (es. figure professionali esperte, consigliera di fiducia, istituzione sportello di ascolto, OIV, RSU) ]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B. ATTIVITA’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[In questa sezione vanno inserite informazioni circa la presa in carico da parte dell’amministrazione delle considerazioni formulate dal CUG nella relazione annuale redatta l’anno precedente; la valutazione relativa all’attuazione delle proposte di miglioramento dell’anno precedente; una sintesi delle attività curate dal CUG nell’anno di riferimento (quante volte si è riunito, su quali ambiti è stato impegnato, partecipazione a reti e progetti)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Descrizione delle attività svolte dal CUG con riferimento ai compiti e poteri ad esso attribuiti: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POTERI PROPOSITIVI: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Azioni atte a favorire condizioni di benessere lavorativo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Azioni positive, interventi e progetti, quali indagini di clima, codici etici e di condotta, idonei a prevenire o rimuovere situazioni di discriminazioni o violenze sessuali, morali o psicologiche – mobbing- nell’amministrazione pubblica di appartenenza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Promozione e/o potenziamento delle iniziative che attuano le politiche di conciliazione, le direttive comunitarie per l’affermazione sul lavoro della pari dignità delle persone e azioni positive al riguardo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Temi che rientrano nella propria competenza ai fini della contrattazione integrativa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Analisi e programmazione di genere che considerino le esigenze delle donne e quelle degli uomini (es bilancio di genere)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Diffusione delle conoscenze ed esperienze sui problemi delle pari opportunità e sulle possibili soluzioni adottate da altre amministrazioni o enti, anche in collaborazione con la Consigliera di parità del territorio di riferimento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POTERI CONSULTIVI (formulazione di pareri su):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Progetti di riorganizzazione dell’amministrazione di appartenenza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Piani di formazione del personale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Orario di lavoro, forme di flessibilità lavorativa e interventi di conciliazione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Criteri di valutazione del personale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Contrattazione integrativa sui temi che rientrano nelle proprie competenze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POTERI DI VERIFICA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Sullo stato di attuazione del Piano triennale di azioni positive con focus sui risultati conseguiti, sui progetti e sulle buone pratiche in materia di pari opportunità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Esiti delle azioni di promozione del benessere organizzativo e prevenzione del disagio lavorativo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Esiti delle azioni di contrasto alle violenze morali e psicologiche nei luoghi di lavoro –mobbing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Assenza di ogni forma di discriminazione, diretta e indiretta, relativa al genere, all’età nell’accesso, nel trattamento e nelle condizioni di lavoro, nella formazione professionale, promozione negli avanzamenti di carriera e sicurezza del lavoro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 xml:space="preserve">Per ciascuna attività descrivere ciò che è stato realizzato, per quanto riguarda il compito di verifica]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i/>
          <w:i/>
          <w:sz w:val="28"/>
          <w:szCs w:val="28"/>
        </w:rPr>
      </w:pPr>
      <w:r>
        <w:rPr>
          <w:rFonts w:cs="Calibri" w:cstheme="minorHAnsi"/>
          <w:b/>
          <w:i/>
          <w:sz w:val="28"/>
          <w:szCs w:val="28"/>
        </w:rPr>
        <w:t>CONSIDERAZIONI CONCLUSIVE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8"/>
          <w:szCs w:val="28"/>
        </w:rPr>
      </w:pPr>
      <w:r>
        <w:rPr>
          <w:rFonts w:cs="Calibri" w:cstheme="minorHAnsi"/>
          <w:i/>
          <w:sz w:val="28"/>
          <w:szCs w:val="28"/>
        </w:rPr>
        <w:t>[Nelle considerazioni conclusive inserire una analisi complessiva della situazione del personale alla luce dei dati raccolti, avendo cura di formulare delle proposte di miglioramento]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header="709" w:top="1418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Bottom of Page)"/>
        <w:docPartUnique w:val="true"/>
      </w:docPartObj>
      <w:id w:val="1918342302"/>
    </w:sdtPr>
    <w:sdtContent>
      <w:p>
        <w:pPr>
          <w:pStyle w:val="Pidipagina"/>
          <w:jc w:val="right"/>
          <w:rPr/>
        </w:pPr>
        <w:r>
          <w:rPr>
            <w:rFonts w:cs="Arial" w:ascii="Arial" w:hAnsi="Arial"/>
            <w:sz w:val="20"/>
            <w:szCs w:val="20"/>
          </w:rPr>
          <w:t xml:space="preserve">Pag. </w:t>
        </w:r>
        <w:r>
          <w:rPr>
            <w:rFonts w:cs="Arial" w:ascii="Arial" w:hAnsi="Arial"/>
            <w:sz w:val="20"/>
            <w:szCs w:val="20"/>
          </w:rPr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Si intenda posizioni di responsabilità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 </w:t>
    </w:r>
    <w:r>
      <w:rPr>
        <w:rFonts w:cs="Arial" w:ascii="Arial" w:hAnsi="Arial"/>
        <w:sz w:val="20"/>
        <w:szCs w:val="20"/>
      </w:rPr>
      <w:t>Inserire logo del CUG o dell’Amministrazione di appartenenza o di entrambi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sz w:val="28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17a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c03afa"/>
    <w:rPr>
      <w:color w:val="0000FF" w:themeColor="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c77e1f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77e1f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60a3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360a3"/>
    <w:rPr>
      <w:rFonts w:ascii="Calibri" w:hAnsi="Calibri" w:eastAsia="Calibri" w:cs="Times New Roman"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1360a3"/>
    <w:rPr>
      <w:rFonts w:ascii="Calibri" w:hAnsi="Calibri" w:eastAsia="Calibri" w:cs="Times New Roman"/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360a3"/>
    <w:rPr>
      <w:rFonts w:ascii="Segoe UI" w:hAnsi="Segoe UI" w:eastAsia="Calibr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75fcb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75fcb"/>
    <w:rPr>
      <w:rFonts w:ascii="Calibri" w:hAnsi="Calibri" w:eastAsia="Calibri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Calibri" w:cs="Arial"/>
      <w:sz w:val="28"/>
    </w:rPr>
  </w:style>
  <w:style w:type="character" w:styleId="Caratterenotaapidipagina">
    <w:name w:val="Carattere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c77e1f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77e1f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360a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1360a3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360a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92882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it-IT" w:eastAsia="en-US" w:bidi="ar-SA"/>
    </w:rPr>
  </w:style>
  <w:style w:type="paragraph" w:styleId="Intestazione">
    <w:name w:val="Intestazione"/>
    <w:basedOn w:val="Normal"/>
    <w:link w:val="IntestazioneCarattere"/>
    <w:uiPriority w:val="99"/>
    <w:unhideWhenUsed/>
    <w:rsid w:val="00875fc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875fc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toraggiocug@govern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A552-9ED3-4E33-AD4F-5B3B848B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LibreOffice/5.0.4.1$Windows_x86 LibreOffice_project/2def61bcbb29a7a8611b833682fe1291910b11ad</Application>
  <Paragraphs>83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2019-05-09T16:54:00Z</dcterms:created>
  <dc:creator>graziella.rivitti</dc:creator>
  <dc:language>it-IT</dc:language>
  <cp:lastPrinted>2019-10-09T15:33:05Z</cp:lastPrinted>
  <dcterms:modified xsi:type="dcterms:W3CDTF">2019-10-09T15:41:39Z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